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商标品牌建设优秀案例撰写要求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一、案例结构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（一）案例题目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具体案例名称标题简洁醒目、主题突出，体现案例的主要亮点、核心创新点，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不超过30字。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（二）案例背景。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简要介绍案例相关的工作背景、涉及的单位基本情况、实施案例的必要性，需要解决的关键问题等。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）主要做法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根据案例类型，围绕商标品牌建设核心内容，坚持问题导向、需求导向，总结凝练相关创新举措、管理机制和服务模式等，系统说明典型做法与有效路径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，要突出重点，避免面面俱到。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）案例效果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通过详实的实例与数据，说明案例取得的经济效益和社会效益，注重数据分析和相关方的评价反馈，体现政策实施、模式创新、经验推广相关成效。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）典型意义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对案例的创新点与示范价值进行分析，就下一步如何深化完善提出思路，为其他地区开展工作提供启示和借鉴。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（六）案例主体单位信息。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案例结尾处要注明案例主体单位和案例推荐单位的名称、联系人、联系方式等信息，由案例推荐单位加盖公章。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二、案例格式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电子文档使用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word或WPS文档，采用A4幅面编辑。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文档字体要求：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题目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二号方正小标宋简体，一级标题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三号黑体，二级标题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三号楷体GB_2312，正文字体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三号仿宋GB_2312，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文中出现的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图表名称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五号黑体，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行距固定值28磅。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案例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可包含必要的图表、数据等，可结合文字内容适当配图，图片清晰，使用原图。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50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2022-07-19T06:26:37Z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